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5A84" w:rsidRDefault="00EC5A84" w:rsidP="00EC5A84">
      <w:pPr>
        <w:keepNext/>
        <w:keepLines/>
        <w:spacing w:after="120" w:line="276" w:lineRule="auto"/>
        <w:outlineLvl w:val="1"/>
        <w:rPr>
          <w:rFonts w:ascii="Trajan Pro" w:eastAsia="Times New Roman" w:hAnsi="Trajan Pro" w:cs="Times New Roman"/>
          <w:color w:val="000000"/>
          <w:sz w:val="28"/>
          <w:szCs w:val="26"/>
          <w:lang w:eastAsia="pl-PL"/>
        </w:rPr>
      </w:pPr>
      <w:bookmarkStart w:id="0" w:name="_Toc223508682"/>
      <w:r>
        <w:rPr>
          <w:rFonts w:ascii="Trajan Pro" w:eastAsia="Times New Roman" w:hAnsi="Trajan Pro" w:cs="Times New Roman"/>
          <w:color w:val="000000"/>
          <w:sz w:val="28"/>
          <w:szCs w:val="26"/>
          <w:lang w:eastAsia="pl-PL"/>
        </w:rPr>
        <w:t>WYMAGANIA SZCZEGÓLOWE Z WF KLASA V- VI</w:t>
      </w:r>
    </w:p>
    <w:p w:rsidR="00EC5A84" w:rsidRPr="00EC5A84" w:rsidRDefault="00EC5A84" w:rsidP="00EC5A84">
      <w:pPr>
        <w:keepNext/>
        <w:keepLines/>
        <w:spacing w:after="120" w:line="276" w:lineRule="auto"/>
        <w:outlineLvl w:val="1"/>
        <w:rPr>
          <w:rFonts w:ascii="Trajan Pro" w:eastAsia="Times New Roman" w:hAnsi="Trajan Pro" w:cs="Times New Roman"/>
          <w:color w:val="000000"/>
          <w:sz w:val="28"/>
          <w:szCs w:val="26"/>
          <w:lang w:eastAsia="pl-PL"/>
        </w:rPr>
      </w:pPr>
      <w:r w:rsidRPr="00EC5A84">
        <w:rPr>
          <w:rFonts w:ascii="Trajan Pro" w:eastAsia="Times New Roman" w:hAnsi="Trajan Pro" w:cs="Times New Roman"/>
          <w:color w:val="000000"/>
          <w:sz w:val="28"/>
          <w:szCs w:val="26"/>
          <w:lang w:eastAsia="pl-PL"/>
        </w:rPr>
        <w:t>3.2. Klasy V i VI</w:t>
      </w:r>
      <w:bookmarkEnd w:id="0"/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EC5A84" w:rsidRPr="00EC5A84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Dział I. Ćwiczenia ogólnorozwojowe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Jakie ćwiczenia pomagają wzmacniać mięśnie posturalne, poprawiać gibkość i koordynację, a także kształtować prawidłową postawę ciała?</w:t>
            </w:r>
          </w:p>
        </w:tc>
      </w:tr>
      <w:tr w:rsidR="00EC5A84" w:rsidRPr="00EC5A84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Wymagania szczegółowe w zakresie wiedzy i umiejętności.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Cele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Umiejętności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co najmniej cztery wybrane ćwiczenia zwinnościowo-akrobatyczne.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 xml:space="preserve">Wykonuje statyczne i dynamiczne ćwiczenia wzmacniające mięśnie posturalne oraz ćwiczenia </w:t>
            </w:r>
            <w:proofErr w:type="spellStart"/>
            <w:r w:rsidRPr="00EC5A84">
              <w:rPr>
                <w:rFonts w:ascii="Cambria" w:hAnsi="Cambria"/>
                <w:color w:val="000000"/>
                <w:lang w:eastAsia="pl-PL"/>
              </w:rPr>
              <w:t>gibkościowe</w:t>
            </w:r>
            <w:proofErr w:type="spellEnd"/>
            <w:r w:rsidRPr="00EC5A84">
              <w:rPr>
                <w:rFonts w:ascii="Cambria" w:hAnsi="Cambria"/>
                <w:color w:val="000000"/>
                <w:lang w:eastAsia="pl-PL"/>
              </w:rPr>
              <w:t xml:space="preserve"> – indywidualnie i z partnerem.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1, 2, 6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1, 2, 6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ćwiczenia rozwijające zdolności koordynacyjne – indywidualnie i z partnerem.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1, 6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1, 6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ćwiczenia kształtujące nawyk prawidłowej postawy ciała w pozycji stojącej, siedzącej i leżącej oraz w trakcie wykonywania różnych codziennych czynności.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Wskazuje grupy mięśniowe odpowiedzialne za prawidłową postawę ciała.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Omawia znaczenie rozgrzewki i opisuje jej zasady, a także przeprowadza jej część.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2, 3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2, 3</w:t>
            </w:r>
          </w:p>
        </w:tc>
      </w:tr>
    </w:tbl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EC5A84" w:rsidRPr="00EC5A84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Dział II. Gry zespołowe i rekreacyjne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W</w:t>
            </w: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 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jaki sposób znajomość zasad i uczestnictwo w grach zespołowych pomagają rozwijać sprawność fizyczną oraz uczyć współpracy i odpowiedzialności w zespole?</w:t>
            </w:r>
          </w:p>
        </w:tc>
      </w:tr>
      <w:tr w:rsidR="00EC5A84" w:rsidRPr="00EC5A84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Wymagania szczegółowe w zakresie wiedzy i umiejętności.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Cele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Umiejętności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Omawia i stosuje przepisy wybranych gier sportowych i rekreacyjnych, w tym posługuje się nazewnictwem specyficznym dla poszczególnych gier zespołowych.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3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3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Potrafi w:</w:t>
            </w:r>
          </w:p>
          <w:p w:rsidR="00EC5A84" w:rsidRPr="00EC5A84" w:rsidRDefault="00EC5A84" w:rsidP="00EC5A84">
            <w:pPr>
              <w:numPr>
                <w:ilvl w:val="0"/>
                <w:numId w:val="10"/>
              </w:numPr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 xml:space="preserve">koszykówce – poruszać się po boisku, kozłować </w:t>
            </w:r>
          </w:p>
          <w:p w:rsidR="00EC5A84" w:rsidRPr="00EC5A84" w:rsidRDefault="00EC5A84" w:rsidP="00EC5A84">
            <w:pPr>
              <w:spacing w:line="276" w:lineRule="auto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 xml:space="preserve">     podawać piłkę oraz rzucać do kosza;</w:t>
            </w:r>
          </w:p>
          <w:p w:rsidR="00EC5A84" w:rsidRPr="00EC5A84" w:rsidRDefault="00EC5A84" w:rsidP="00EC5A84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piłce nożnej – poruszać się po boisku, prowadzić piłkę, podawać i strzelać do bramki;</w:t>
            </w:r>
          </w:p>
          <w:p w:rsidR="00EC5A84" w:rsidRPr="00EC5A84" w:rsidRDefault="00EC5A84" w:rsidP="00EC5A84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piłce ręcznej – poruszać się po boisku, kozłować piłkę, podawać piłkę i rzucać do bramki;</w:t>
            </w:r>
          </w:p>
          <w:p w:rsidR="00EC5A84" w:rsidRPr="00EC5A84" w:rsidRDefault="00EC5A84" w:rsidP="00EC5A84">
            <w:pPr>
              <w:numPr>
                <w:ilvl w:val="0"/>
                <w:numId w:val="3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lastRenderedPageBreak/>
              <w:t>siatkówce – przyjmować postawę siatkarską, odbijać piłkę, rozgrywać i wykonywać zagrywkę oraz uczestniczyć w rzucance siatkarskiej.</w:t>
            </w:r>
          </w:p>
          <w:p w:rsidR="00EC5A84" w:rsidRPr="00EC5A84" w:rsidRDefault="00EC5A84" w:rsidP="00EC5A84">
            <w:pPr>
              <w:spacing w:line="276" w:lineRule="auto"/>
              <w:ind w:firstLine="284"/>
              <w:contextualSpacing/>
              <w:rPr>
                <w:rFonts w:ascii="Cambria" w:hAnsi="Cambria"/>
                <w:color w:val="000000"/>
                <w:lang w:eastAsia="pl-PL"/>
              </w:rPr>
            </w:pPr>
          </w:p>
          <w:p w:rsidR="00EC5A84" w:rsidRPr="00EC5A84" w:rsidRDefault="00EC5A84" w:rsidP="00EC5A84">
            <w:pPr>
              <w:spacing w:line="276" w:lineRule="auto"/>
              <w:ind w:firstLine="284"/>
              <w:contextualSpacing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lastRenderedPageBreak/>
              <w:t>1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lastRenderedPageBreak/>
              <w:t>Uczestniczy w co najmniej dwóch grach zespołowych innych niż wymienione w pkt 2, wybranych zgodnie z preferencjami uczniów, tradycją szkoły i środowiska lokalnego oraz warunkami organizacyjnymi szkoły.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5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5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Uczestniczy w </w:t>
            </w:r>
            <w:proofErr w:type="spellStart"/>
            <w:r w:rsidRPr="00EC5A84">
              <w:rPr>
                <w:rFonts w:ascii="Cambria" w:hAnsi="Cambria"/>
                <w:color w:val="000000"/>
                <w:lang w:eastAsia="pl-PL"/>
              </w:rPr>
              <w:t>minigrach</w:t>
            </w:r>
            <w:proofErr w:type="spellEnd"/>
            <w:r w:rsidRPr="00EC5A84">
              <w:rPr>
                <w:rFonts w:ascii="Cambria" w:hAnsi="Cambria"/>
                <w:color w:val="000000"/>
                <w:lang w:eastAsia="pl-PL"/>
              </w:rPr>
              <w:t xml:space="preserve"> oraz grach szkolnych i uproszczonych.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3, 6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3, 6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2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Organizuje w gronie rówieśników co najmniej jedną grę sportową lub rekreacyjną.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6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6</w:t>
            </w:r>
          </w:p>
        </w:tc>
      </w:tr>
    </w:tbl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EC5A84" w:rsidRPr="00EC5A84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Dział III. Lekkoatletyka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W</w:t>
            </w: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 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jaki sposób biegi, skoki i rzuty w lekkoatletyce rozwijają sprawność fizyczną?</w:t>
            </w:r>
          </w:p>
        </w:tc>
      </w:tr>
      <w:tr w:rsidR="00EC5A84" w:rsidRPr="00EC5A84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Wymagania szczegółowe w zakresie wiedzy i umiejętności.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Cele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Umiejętności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Uczestniczy w grach i zabawach szybkościowych, rozwijających czas reakcji i wybieg startowy (prędkość biegu).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bieg krótki ze startu niskiego.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1, 2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1, 2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bieg przez przeszkody.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1, 8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pchnięcie i rzut zamachowy piłką z miejsca i krótkiego rozbiegu.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1, 5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1, 5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Wybiera i pokonuje trasę marszobiegu lub biegu terenowego.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2, 8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przekazanie pałeczki w miejscu i lekkim biegu.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1, 3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1, 3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4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 xml:space="preserve">Wykonuje skok w dal </w:t>
            </w:r>
            <w:proofErr w:type="spellStart"/>
            <w:r w:rsidRPr="00EC5A84">
              <w:rPr>
                <w:rFonts w:ascii="Cambria" w:hAnsi="Cambria"/>
                <w:color w:val="000000"/>
                <w:lang w:eastAsia="pl-PL"/>
              </w:rPr>
              <w:t>jednonóż</w:t>
            </w:r>
            <w:proofErr w:type="spellEnd"/>
            <w:r w:rsidRPr="00EC5A84">
              <w:rPr>
                <w:rFonts w:ascii="Cambria" w:hAnsi="Cambria"/>
                <w:color w:val="000000"/>
                <w:lang w:eastAsia="pl-PL"/>
              </w:rPr>
              <w:t xml:space="preserve"> z krótkiego rozbiegu.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1, 7</w:t>
            </w:r>
          </w:p>
        </w:tc>
      </w:tr>
    </w:tbl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EC5A84" w:rsidRPr="00EC5A84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Dział IV. Taniec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Jak nauka prostych kroków i figur tanecznych w tańcach tradycyjnych i nowoczesnych pomaga rozwijać koordynację ruchową?</w:t>
            </w:r>
          </w:p>
        </w:tc>
      </w:tr>
      <w:tr w:rsidR="00EC5A84" w:rsidRPr="00EC5A84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Wymagania szczegółowe w zakresie wiedzy i umiejętności.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Cele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Umiejętności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5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 xml:space="preserve">Wykonuje proste kroki i figury tańców tradycyjnych i nowoczesnych. 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1, 5, 7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1, 5, 8</w:t>
            </w:r>
          </w:p>
        </w:tc>
      </w:tr>
    </w:tbl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EC5A84" w:rsidRPr="00EC5A84" w:rsidRDefault="00EC5A84" w:rsidP="00EC5A84">
      <w:pPr>
        <w:spacing w:after="200" w:line="276" w:lineRule="auto"/>
        <w:rPr>
          <w:rFonts w:ascii="Cambria" w:eastAsia="Times New Roman" w:hAnsi="Cambria" w:cs="Times New Roman"/>
          <w:color w:val="000000"/>
          <w:lang w:eastAsia="pl-PL"/>
        </w:rPr>
      </w:pPr>
      <w:r w:rsidRPr="00EC5A84">
        <w:rPr>
          <w:rFonts w:ascii="Cambria" w:eastAsia="Times New Roman" w:hAnsi="Cambria" w:cs="Times New Roman"/>
          <w:lang w:eastAsia="pl-PL"/>
        </w:rPr>
        <w:br w:type="page"/>
      </w: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EC5A84" w:rsidRPr="00EC5A84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lastRenderedPageBreak/>
              <w:t>Dział V. Relaksacja i odprężenie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W</w:t>
            </w: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 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 xml:space="preserve">jaki sposób ćwiczenia oddechowe i rozciągające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br/>
              <w:t>wpływają na relaksację organizmu?</w:t>
            </w:r>
          </w:p>
        </w:tc>
      </w:tr>
      <w:tr w:rsidR="00EC5A84" w:rsidRPr="00EC5A84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Wymagania szczegółowe w zakresie wiedzy i umiejętności.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Cele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Umiejętności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ćwiczenia oddechowe i rozciągające o charakterze relaksacyjnym.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2, 8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6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Omawia korzyści płynące z podejmowania aktywności fizycznej na świeżym powietrzu, ze szczególnym uwzględnieniem jej wpływu na redukcję stresu i poprawę samopoczucia.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2, 4, 5, 7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2, 4, 5, 8</w:t>
            </w:r>
          </w:p>
        </w:tc>
      </w:tr>
    </w:tbl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6365"/>
        <w:gridCol w:w="1637"/>
        <w:gridCol w:w="1750"/>
      </w:tblGrid>
      <w:tr w:rsidR="00EC5A84" w:rsidRPr="00EC5A84" w:rsidTr="00E7763F">
        <w:trPr>
          <w:trHeight w:val="436"/>
          <w:jc w:val="center"/>
        </w:trPr>
        <w:tc>
          <w:tcPr>
            <w:tcW w:w="9288" w:type="dxa"/>
            <w:gridSpan w:val="3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Dział VI. Monitorowanie aktywności i sprawności fizycznej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W</w:t>
            </w: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 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jaki sposób testy sprawności fizycznej i analiza wyników pomagają lepiej poznać własne możliwości fizyczne?</w:t>
            </w:r>
          </w:p>
        </w:tc>
      </w:tr>
      <w:tr w:rsidR="00EC5A84" w:rsidRPr="00EC5A84" w:rsidTr="00E7763F">
        <w:trPr>
          <w:trHeight w:val="435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Wymagania szczegółowe w zakresie wiedzy i umiejętności.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Uczeń: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Cele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Umiejętności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606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7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Wykonuje testy sprawności fizycznej pozwalające ocenić szybkość, wytrzymałość tlenową, siłę i gibkość, a z pomocą nauczyciela interpretuje wyniki.</w:t>
            </w:r>
          </w:p>
        </w:tc>
        <w:tc>
          <w:tcPr>
            <w:tcW w:w="1559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  <w:tc>
          <w:tcPr>
            <w:tcW w:w="1667" w:type="dxa"/>
            <w:vAlign w:val="center"/>
          </w:tcPr>
          <w:p w:rsidR="00EC5A84" w:rsidRPr="00EC5A84" w:rsidRDefault="00EC5A84" w:rsidP="00EC5A84">
            <w:pPr>
              <w:spacing w:line="276" w:lineRule="auto"/>
              <w:contextualSpacing/>
              <w:jc w:val="center"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2, 7</w:t>
            </w:r>
          </w:p>
        </w:tc>
      </w:tr>
    </w:tbl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p w:rsidR="00EC5A84" w:rsidRPr="00EC5A84" w:rsidRDefault="00EC5A84" w:rsidP="00EC5A84">
      <w:pPr>
        <w:spacing w:after="0" w:line="276" w:lineRule="auto"/>
        <w:ind w:firstLine="284"/>
        <w:jc w:val="both"/>
        <w:rPr>
          <w:rFonts w:ascii="Cambria" w:eastAsia="Times New Roman" w:hAnsi="Cambria" w:cs="Times New Roman"/>
          <w:color w:val="000000"/>
          <w:lang w:eastAsia="pl-PL"/>
        </w:rPr>
      </w:pPr>
    </w:p>
    <w:tbl>
      <w:tblPr>
        <w:tblStyle w:val="Tabela-Siatka1"/>
        <w:tblW w:w="975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752"/>
      </w:tblGrid>
      <w:tr w:rsidR="00EC5A84" w:rsidRPr="00EC5A84" w:rsidTr="00E7763F">
        <w:trPr>
          <w:trHeight w:val="436"/>
          <w:jc w:val="center"/>
        </w:trPr>
        <w:tc>
          <w:tcPr>
            <w:tcW w:w="9212" w:type="dxa"/>
            <w:vAlign w:val="center"/>
            <w:hideMark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Dział VII. Bezpieczeństwo w aktywności fizycznej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i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>W</w:t>
            </w: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 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 xml:space="preserve">jaki sposób znajomość zasad bezpieczeństwa oraz umiejętne korzystanie z dostępnych urządzeń i przyborów pomagają nam chronić siebie i innych w trakcie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br/>
              <w:t xml:space="preserve">aktywności fizycznej (np. w sali gimnastycznej, na boisku, nad wodą i w górach)? </w:t>
            </w:r>
          </w:p>
        </w:tc>
      </w:tr>
      <w:tr w:rsidR="00EC5A84" w:rsidRPr="00EC5A84" w:rsidTr="00E7763F">
        <w:trPr>
          <w:trHeight w:val="435"/>
          <w:jc w:val="center"/>
        </w:trPr>
        <w:tc>
          <w:tcPr>
            <w:tcW w:w="9212" w:type="dxa"/>
            <w:vAlign w:val="center"/>
            <w:hideMark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Wymagania szczegółowe w zakresie wiedzy i umiejętności. 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Uczeń: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9212" w:type="dxa"/>
            <w:vAlign w:val="center"/>
            <w:hideMark/>
          </w:tcPr>
          <w:p w:rsidR="00EC5A84" w:rsidRPr="00EC5A84" w:rsidRDefault="00EC5A84" w:rsidP="00EC5A84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Przygotowuje się właściwie do wybranej formy aktywności fizycznej, uwzględniając miejsce jej realizacji, odpowiedni strój sportowy i rozgrzewkę.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921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Wyjaśnia, dlaczego należy przestrzegać ustalonych reguł w trakcie rywalizacji.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921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Omawia, jak postępować przy najczęstszych kontuzjach związanych z podejmowaniem aktywności fizycznej.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921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Korzysta bezpiecznie ze sprzętu i z urządzeń sportowych.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921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 xml:space="preserve">Wykonuje elementy </w:t>
            </w:r>
            <w:proofErr w:type="spellStart"/>
            <w:r w:rsidRPr="00EC5A84">
              <w:rPr>
                <w:rFonts w:ascii="Cambria" w:hAnsi="Cambria"/>
                <w:color w:val="000000"/>
                <w:lang w:eastAsia="pl-PL"/>
              </w:rPr>
              <w:t>samoasekuracji</w:t>
            </w:r>
            <w:proofErr w:type="spellEnd"/>
            <w:r w:rsidRPr="00EC5A84">
              <w:rPr>
                <w:rFonts w:ascii="Cambria" w:hAnsi="Cambria"/>
                <w:color w:val="000000"/>
                <w:lang w:eastAsia="pl-PL"/>
              </w:rPr>
              <w:t xml:space="preserve"> w różnych formach aktywności fizycznej, uwzględniając własne bezpieczeństwo.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9212" w:type="dxa"/>
            <w:vAlign w:val="center"/>
          </w:tcPr>
          <w:p w:rsidR="00EC5A84" w:rsidRPr="00EC5A84" w:rsidRDefault="00EC5A84" w:rsidP="00EC5A84">
            <w:pPr>
              <w:numPr>
                <w:ilvl w:val="0"/>
                <w:numId w:val="8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Omawia i stosuje zasady bezpiecznego zachowania nad wodą, w górach i na terenach zielonych, w różnych porach roku, oraz wyjaśnia, jak jego postawa i działania mogą wpływać na bezpieczeństwo własne, innych oraz stan środowiska naturalnego.</w:t>
            </w:r>
          </w:p>
        </w:tc>
      </w:tr>
    </w:tbl>
    <w:p w:rsidR="00EC5A84" w:rsidRPr="00EC5A84" w:rsidRDefault="00EC5A84" w:rsidP="00EC5A8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Style w:val="Tabela-Siatka1"/>
        <w:tblW w:w="9752" w:type="dxa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752"/>
      </w:tblGrid>
      <w:tr w:rsidR="00EC5A84" w:rsidRPr="00EC5A84" w:rsidTr="00E7763F">
        <w:trPr>
          <w:trHeight w:val="436"/>
          <w:jc w:val="center"/>
        </w:trPr>
        <w:tc>
          <w:tcPr>
            <w:tcW w:w="9212" w:type="dxa"/>
            <w:vAlign w:val="center"/>
            <w:hideMark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Dział VIII. Kompetencje społeczne</w:t>
            </w:r>
          </w:p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i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 xml:space="preserve">Pytanie wiodące: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t xml:space="preserve">Jak aktywność fizyczna i sport pomagają budować relacje, rozwijać współpracę </w:t>
            </w:r>
            <w:r w:rsidRPr="00EC5A84">
              <w:rPr>
                <w:rFonts w:ascii="Cambria" w:hAnsi="Cambria" w:cs="Calibri"/>
                <w:i/>
                <w:color w:val="000000"/>
                <w:lang w:eastAsia="pl-PL"/>
              </w:rPr>
              <w:br/>
              <w:t>oraz kształtować szacunek, empatię i poczucie własnej wartości?</w:t>
            </w:r>
          </w:p>
        </w:tc>
      </w:tr>
      <w:tr w:rsidR="00EC5A84" w:rsidRPr="00EC5A84" w:rsidTr="00E7763F">
        <w:trPr>
          <w:trHeight w:val="435"/>
          <w:jc w:val="center"/>
        </w:trPr>
        <w:tc>
          <w:tcPr>
            <w:tcW w:w="9212" w:type="dxa"/>
            <w:vAlign w:val="center"/>
            <w:hideMark/>
          </w:tcPr>
          <w:p w:rsidR="00EC5A84" w:rsidRPr="00EC5A84" w:rsidRDefault="00EC5A84" w:rsidP="00EC5A84">
            <w:pPr>
              <w:spacing w:line="276" w:lineRule="auto"/>
              <w:jc w:val="center"/>
              <w:rPr>
                <w:rFonts w:ascii="Cambria" w:hAnsi="Cambria" w:cs="Calibri"/>
                <w:b/>
                <w:color w:val="000000"/>
                <w:lang w:eastAsia="pl-PL"/>
              </w:rPr>
            </w:pPr>
            <w:r w:rsidRPr="00EC5A84">
              <w:rPr>
                <w:rFonts w:ascii="Cambria" w:hAnsi="Cambria" w:cs="Calibri"/>
                <w:b/>
                <w:color w:val="000000"/>
                <w:lang w:eastAsia="pl-PL"/>
              </w:rPr>
              <w:t>Wymagania szczegółowe w zakresie wiedzy i umiejętności. Uczeń:</w:t>
            </w:r>
          </w:p>
        </w:tc>
      </w:tr>
      <w:tr w:rsidR="00EC5A84" w:rsidRPr="00EC5A84" w:rsidTr="00E7763F">
        <w:trPr>
          <w:trHeight w:val="150"/>
          <w:jc w:val="center"/>
        </w:trPr>
        <w:tc>
          <w:tcPr>
            <w:tcW w:w="9212" w:type="dxa"/>
            <w:vAlign w:val="center"/>
            <w:hideMark/>
          </w:tcPr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 xml:space="preserve">Rozumie znaczenie idei olimpizmu oraz wynikającej z niej zasady </w:t>
            </w:r>
            <w:r w:rsidRPr="00EC5A84">
              <w:rPr>
                <w:rFonts w:ascii="Cambria" w:hAnsi="Cambria"/>
                <w:i/>
                <w:iCs/>
                <w:color w:val="000000"/>
                <w:lang w:eastAsia="pl-PL"/>
              </w:rPr>
              <w:t xml:space="preserve">fair </w:t>
            </w:r>
            <w:proofErr w:type="spellStart"/>
            <w:r w:rsidRPr="00EC5A84">
              <w:rPr>
                <w:rFonts w:ascii="Cambria" w:hAnsi="Cambria"/>
                <w:i/>
                <w:iCs/>
                <w:color w:val="000000"/>
                <w:lang w:eastAsia="pl-PL"/>
              </w:rPr>
              <w:t>play</w:t>
            </w:r>
            <w:proofErr w:type="spellEnd"/>
            <w:r w:rsidRPr="00EC5A84">
              <w:rPr>
                <w:rFonts w:ascii="Cambria" w:hAnsi="Cambria"/>
                <w:color w:val="000000"/>
                <w:lang w:eastAsia="pl-PL"/>
              </w:rPr>
              <w:t>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 xml:space="preserve">Uczestniczy w rywalizacji sportowej jako zawodnik, przestrzegając zasad </w:t>
            </w:r>
            <w:r w:rsidRPr="00EC5A84">
              <w:rPr>
                <w:rFonts w:ascii="Cambria" w:hAnsi="Cambria"/>
                <w:i/>
                <w:iCs/>
                <w:color w:val="000000"/>
                <w:lang w:eastAsia="pl-PL"/>
              </w:rPr>
              <w:t xml:space="preserve">fair </w:t>
            </w:r>
            <w:proofErr w:type="spellStart"/>
            <w:r w:rsidRPr="00EC5A84">
              <w:rPr>
                <w:rFonts w:ascii="Cambria" w:hAnsi="Cambria"/>
                <w:i/>
                <w:iCs/>
                <w:color w:val="000000"/>
                <w:lang w:eastAsia="pl-PL"/>
              </w:rPr>
              <w:t>play</w:t>
            </w:r>
            <w:proofErr w:type="spellEnd"/>
            <w:r w:rsidRPr="00EC5A84">
              <w:rPr>
                <w:rFonts w:ascii="Cambria" w:hAnsi="Cambria"/>
                <w:color w:val="000000"/>
                <w:lang w:eastAsia="pl-PL"/>
              </w:rPr>
              <w:t>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Okazuje szacunek wobec przeciwnika, sędziego i współuczestników przez przestrzeganie zasad obowiązujących w grach i zabawach ruchowych.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Współdziała w grupie, wiedząc, że sukces drużyny zależy od zaangażowania wszystkich uczestników.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Komunikuje się efektywnie w grupie i buduje relacje przez gry zespołowe i ćwiczenia w parach.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Pełni funkcję organizatora, sędziego i kibica w ramach szkolnych zawodów sportowych.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Wyjaśnia zasady kulturalnego kibicowania.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Wykazuje kreatywność w poszukiwaniu rozwiązań sytuacji problemowych.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Traktuje problem jako motywację do działania, a nie barierę nie do pokonania.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Przez doświadczenia, takie jak wygrana czy przegrana, nazywa i rozumie emocje towarzyszące rywalizacji sportowej, co przekłada się na codzienne funkcjonowanie społeczne.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Współpracuje w grupie, szanując poglądy i wysiłki innych uczniów, wykazując asertywność i empatię.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Motywuje innych uczniów do uczestniczenia w aktywności fizycznej, ze szczególnym uwzględnieniem osób o niższej sprawności fizycznej i zróżnicowanych potrzebach edukacyjnych.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Przeciwdziała wykluczeniu uczniów mniej sprawnych fizycznie i promuje wzajemne wsparcie.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Rozwiązuje nieporozumienia w sposób bezkonfliktowy zarówno w trakcie rywalizacji, jak i w sytuacjach pozasportowych.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Wzmacnia poczucie własnej wartości.</w:t>
            </w:r>
          </w:p>
          <w:p w:rsidR="00EC5A84" w:rsidRPr="00EC5A84" w:rsidRDefault="00EC5A84" w:rsidP="00EC5A84">
            <w:pPr>
              <w:numPr>
                <w:ilvl w:val="0"/>
                <w:numId w:val="9"/>
              </w:numPr>
              <w:spacing w:line="276" w:lineRule="auto"/>
              <w:contextualSpacing/>
              <w:rPr>
                <w:rFonts w:ascii="Cambria" w:hAnsi="Cambria"/>
                <w:color w:val="000000"/>
                <w:lang w:eastAsia="pl-PL"/>
              </w:rPr>
            </w:pPr>
            <w:r w:rsidRPr="00EC5A84">
              <w:rPr>
                <w:rFonts w:ascii="Cambria" w:hAnsi="Cambria"/>
                <w:color w:val="000000"/>
                <w:lang w:eastAsia="pl-PL"/>
              </w:rPr>
              <w:t>Buduje pozytywny obraz siebie przez współpracę i wsparcie grupy.</w:t>
            </w:r>
          </w:p>
          <w:p w:rsidR="00EC5A84" w:rsidRPr="00EC5A84" w:rsidRDefault="00EC5A84" w:rsidP="00EC5A84">
            <w:pPr>
              <w:spacing w:line="276" w:lineRule="auto"/>
              <w:rPr>
                <w:rFonts w:ascii="Cambria" w:hAnsi="Cambria" w:cs="Calibri"/>
                <w:color w:val="000000"/>
                <w:lang w:eastAsia="pl-PL"/>
              </w:rPr>
            </w:pPr>
          </w:p>
        </w:tc>
      </w:tr>
    </w:tbl>
    <w:p w:rsidR="00652F7F" w:rsidRDefault="00652F7F"/>
    <w:sectPr w:rsidR="00652F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8A0" w:rsidRDefault="007F18A0" w:rsidP="00BE2A11">
      <w:pPr>
        <w:spacing w:after="0" w:line="240" w:lineRule="auto"/>
      </w:pPr>
      <w:r>
        <w:separator/>
      </w:r>
    </w:p>
  </w:endnote>
  <w:endnote w:type="continuationSeparator" w:id="0">
    <w:p w:rsidR="007F18A0" w:rsidRDefault="007F18A0" w:rsidP="00BE2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ajan Pro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11" w:rsidRDefault="00BE2A1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8801085"/>
      <w:docPartObj>
        <w:docPartGallery w:val="Page Numbers (Bottom of Page)"/>
        <w:docPartUnique/>
      </w:docPartObj>
    </w:sdtPr>
    <w:sdtContent>
      <w:bookmarkStart w:id="1" w:name="_GoBack" w:displacedByCustomXml="prev"/>
      <w:bookmarkEnd w:id="1" w:displacedByCustomXml="prev"/>
      <w:p w:rsidR="00BE2A11" w:rsidRDefault="00BE2A1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2A11" w:rsidRDefault="00BE2A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11" w:rsidRDefault="00BE2A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8A0" w:rsidRDefault="007F18A0" w:rsidP="00BE2A11">
      <w:pPr>
        <w:spacing w:after="0" w:line="240" w:lineRule="auto"/>
      </w:pPr>
      <w:r>
        <w:separator/>
      </w:r>
    </w:p>
  </w:footnote>
  <w:footnote w:type="continuationSeparator" w:id="0">
    <w:p w:rsidR="007F18A0" w:rsidRDefault="007F18A0" w:rsidP="00BE2A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11" w:rsidRDefault="00BE2A1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11" w:rsidRDefault="00BE2A1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A11" w:rsidRDefault="00BE2A1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5D81"/>
    <w:multiLevelType w:val="hybridMultilevel"/>
    <w:tmpl w:val="ADB8D7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4E027F1"/>
    <w:multiLevelType w:val="hybridMultilevel"/>
    <w:tmpl w:val="7552359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EF86352"/>
    <w:multiLevelType w:val="hybridMultilevel"/>
    <w:tmpl w:val="9AD2FAFA"/>
    <w:lvl w:ilvl="0" w:tplc="0420984C">
      <w:start w:val="1"/>
      <w:numFmt w:val="lowerLetter"/>
      <w:pStyle w:val="Styl1"/>
      <w:lvlText w:val="%1)"/>
      <w:lvlJc w:val="left"/>
      <w:pPr>
        <w:ind w:left="64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0C33580"/>
    <w:multiLevelType w:val="hybridMultilevel"/>
    <w:tmpl w:val="44E6A2B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4AFD0BDC"/>
    <w:multiLevelType w:val="hybridMultilevel"/>
    <w:tmpl w:val="ADB8D78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4DC67B7D"/>
    <w:multiLevelType w:val="hybridMultilevel"/>
    <w:tmpl w:val="B4800E1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51E33544"/>
    <w:multiLevelType w:val="hybridMultilevel"/>
    <w:tmpl w:val="5608EFDC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632B3D7F"/>
    <w:multiLevelType w:val="hybridMultilevel"/>
    <w:tmpl w:val="CF50EBA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B361331"/>
    <w:multiLevelType w:val="hybridMultilevel"/>
    <w:tmpl w:val="F8E2B99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4"/>
  </w:num>
  <w:num w:numId="9">
    <w:abstractNumId w:val="6"/>
  </w:num>
  <w:num w:numId="1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A84"/>
    <w:rsid w:val="00652F7F"/>
    <w:rsid w:val="007F18A0"/>
    <w:rsid w:val="00BE2A11"/>
    <w:rsid w:val="00EC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7E189"/>
  <w15:chartTrackingRefBased/>
  <w15:docId w15:val="{E6A6AE49-99E9-4428-A4E9-198F4ED2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EC5A84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alny"/>
    <w:qFormat/>
    <w:rsid w:val="00EC5A84"/>
    <w:pPr>
      <w:numPr>
        <w:numId w:val="3"/>
      </w:numPr>
      <w:spacing w:after="0" w:line="276" w:lineRule="auto"/>
      <w:ind w:left="641" w:hanging="357"/>
      <w:contextualSpacing/>
    </w:pPr>
    <w:rPr>
      <w:rFonts w:ascii="Cambria" w:eastAsia="Times New Roman" w:hAnsi="Cambria" w:cs="Times New Roman"/>
      <w:color w:val="000000"/>
      <w:lang w:eastAsia="pl-PL"/>
    </w:rPr>
  </w:style>
  <w:style w:type="table" w:styleId="Tabela-Siatka">
    <w:name w:val="Table Grid"/>
    <w:basedOn w:val="Standardowy"/>
    <w:uiPriority w:val="39"/>
    <w:rsid w:val="00EC5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E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2A11"/>
  </w:style>
  <w:style w:type="paragraph" w:styleId="Stopka">
    <w:name w:val="footer"/>
    <w:basedOn w:val="Normalny"/>
    <w:link w:val="StopkaZnak"/>
    <w:uiPriority w:val="99"/>
    <w:unhideWhenUsed/>
    <w:rsid w:val="00BE2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2A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1009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Uczeń</cp:lastModifiedBy>
  <cp:revision>3</cp:revision>
  <dcterms:created xsi:type="dcterms:W3CDTF">2026-04-30T10:17:00Z</dcterms:created>
  <dcterms:modified xsi:type="dcterms:W3CDTF">2026-04-30T10:19:00Z</dcterms:modified>
</cp:coreProperties>
</file>